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0CDF" w:rsidRPr="00350CDF" w:rsidRDefault="00350CDF" w:rsidP="00547BFD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bookmarkStart w:id="0" w:name="_GoBack"/>
      <w:bookmarkEnd w:id="0"/>
      <w:r w:rsidRPr="00350CD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Gyöngyös Városi Önkormányzat Képviselő-testületének</w:t>
      </w:r>
    </w:p>
    <w:p w:rsidR="00350CDF" w:rsidRPr="00350CDF" w:rsidRDefault="00651B6E" w:rsidP="00547B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7</w:t>
      </w:r>
      <w:r w:rsidR="00350CDF" w:rsidRPr="00350CD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/2020. (</w:t>
      </w:r>
      <w:r w:rsidR="00547BF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III.26.</w:t>
      </w:r>
      <w:r w:rsidR="00350CDF" w:rsidRPr="00350CD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) önkormányzati rendelete</w:t>
      </w:r>
    </w:p>
    <w:p w:rsidR="00350CDF" w:rsidRPr="00350CDF" w:rsidRDefault="00350CDF" w:rsidP="00547B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 w:rsidRPr="00350CD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a Gyöngyös Városi Önkormányzat 2020. évi költségvetéséről szóló</w:t>
      </w:r>
    </w:p>
    <w:p w:rsidR="00350CDF" w:rsidRPr="00603B37" w:rsidRDefault="00350CDF" w:rsidP="00547B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350CD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3/2020. (II.21.) önkormányzati rendelet módosításáról</w:t>
      </w:r>
      <w:r w:rsidR="00603B37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*</w:t>
      </w:r>
    </w:p>
    <w:p w:rsidR="00350CDF" w:rsidRPr="00350CDF" w:rsidRDefault="00350CDF" w:rsidP="00547BF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hu-HU"/>
        </w:rPr>
      </w:pPr>
    </w:p>
    <w:p w:rsidR="000F316A" w:rsidRDefault="000F316A" w:rsidP="000F3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0F316A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Pr="000F316A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Gyöngyös Városi Önkormányzat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Pr="000F316A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az Alaptörvény 32. cikk (2) bekezdésében meghatározott eredeti jogalkotói jogkörében, az Alaptörvény 32. cikk (1) bekezdés f) pontjában meghatározott feladatkörében eljárva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,</w:t>
      </w:r>
    </w:p>
    <w:p w:rsidR="000F316A" w:rsidRPr="00290110" w:rsidRDefault="000F316A" w:rsidP="000F3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továbbá a katasztrófavédelemről és a hozzá kapcsolódó egyes törvények módosításáról szól 2011. évi CXXVIII. törvény 46. § (4) bekezdésében foglalt felhatalmazás alapján,</w:t>
      </w:r>
      <w:r w:rsidRPr="0029011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a következőket rendel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em</w:t>
      </w:r>
      <w:r w:rsidRPr="0029011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el:</w:t>
      </w:r>
    </w:p>
    <w:p w:rsidR="000F316A" w:rsidRPr="000F316A" w:rsidRDefault="000F316A" w:rsidP="000F3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350CDF" w:rsidRPr="00350CDF" w:rsidRDefault="00350CDF" w:rsidP="00350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350CDF" w:rsidRPr="00350CDF" w:rsidRDefault="00350CDF" w:rsidP="00350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lang w:eastAsia="hu-HU"/>
        </w:rPr>
        <w:t>1.§</w:t>
      </w:r>
    </w:p>
    <w:p w:rsidR="00350CDF" w:rsidRPr="00350CDF" w:rsidRDefault="00350CDF" w:rsidP="00350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</w:p>
    <w:p w:rsidR="00350CDF" w:rsidRPr="00350CDF" w:rsidRDefault="00350CDF" w:rsidP="00547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lang w:eastAsia="hu-HU"/>
        </w:rPr>
        <w:t>A Gyöngyös Városi Önkormányzat 2020. évi költségvetéséről szóló 3/2020. (II.21.) önkormányzati rendelet (továbbiakban: Rendelet) 3.§ (1) bekezdése helyébe az alábbi rendelkezés lép:</w:t>
      </w:r>
    </w:p>
    <w:p w:rsidR="00350CDF" w:rsidRPr="00350CDF" w:rsidRDefault="00350CDF" w:rsidP="00350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350CDF" w:rsidRPr="00350CDF" w:rsidRDefault="00350CDF" w:rsidP="00350C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i/>
          <w:lang w:eastAsia="hu-HU"/>
        </w:rPr>
        <w:t>„(1) A Képviselő-testület a Gyöngyös Városi Önkormányzat 2020. évi költségvetésének főösszegét 13.547.030.521 Ft-ban hagyja jóvá az 1. melléklet szerint. A főösszegen belül a költségvetési bevételeket 7.561.852.320 Ft-ban, a költségvetési kiadásokat pedig 11.432.065.420 Ft-ban állapítja meg.”</w:t>
      </w:r>
    </w:p>
    <w:p w:rsidR="00350CDF" w:rsidRPr="00350CDF" w:rsidRDefault="00350CDF" w:rsidP="00350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</w:p>
    <w:p w:rsidR="00350CDF" w:rsidRPr="00350CDF" w:rsidRDefault="00350CDF" w:rsidP="00350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lang w:eastAsia="hu-HU"/>
        </w:rPr>
        <w:t>2.§</w:t>
      </w:r>
    </w:p>
    <w:p w:rsidR="00350CDF" w:rsidRPr="00350CDF" w:rsidRDefault="00350CDF" w:rsidP="00350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350CDF" w:rsidRPr="00350CDF" w:rsidRDefault="00350CDF" w:rsidP="00350C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lang w:eastAsia="hu-HU"/>
        </w:rPr>
        <w:t>(1) A Rendelet 4.§ (1) bekezdése helyébe az alábbi rendelkezés lép:</w:t>
      </w:r>
    </w:p>
    <w:p w:rsidR="00350CDF" w:rsidRPr="00350CDF" w:rsidRDefault="00350CDF" w:rsidP="00350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350CDF" w:rsidRPr="00350CDF" w:rsidRDefault="00350CDF" w:rsidP="00350CD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i/>
          <w:lang w:eastAsia="hu-HU"/>
        </w:rPr>
        <w:t>„(1) A Képviselő-testület a 3.§ (1) bekezdésében megállapított költségvetési főösszeget bevételi források szerinti bontásban az alábbiak szerint határozza meg:</w:t>
      </w:r>
    </w:p>
    <w:p w:rsidR="00350CDF" w:rsidRPr="00350CDF" w:rsidRDefault="00350CDF" w:rsidP="00350CD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color w:val="FF0000"/>
          <w:lang w:eastAsia="hu-HU"/>
        </w:rPr>
      </w:pPr>
    </w:p>
    <w:p w:rsidR="00350CDF" w:rsidRPr="00350CDF" w:rsidRDefault="00350CDF" w:rsidP="00350CDF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Működési célú támogatások 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  <w:t xml:space="preserve">                2.159.281.279 Ft</w:t>
      </w:r>
    </w:p>
    <w:p w:rsidR="00350CDF" w:rsidRPr="00350CDF" w:rsidRDefault="00350CDF" w:rsidP="00350CDF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>Felhalmozási célú támogatások                 764.862.030 Ft</w:t>
      </w:r>
    </w:p>
    <w:p w:rsidR="00350CDF" w:rsidRPr="00350CDF" w:rsidRDefault="00350CDF" w:rsidP="00350CDF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>Közhatalmi bevételek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  <w:t>3.416.300.000 Ft</w:t>
      </w:r>
    </w:p>
    <w:p w:rsidR="00350CDF" w:rsidRPr="00350CDF" w:rsidRDefault="00350CDF" w:rsidP="00350CDF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>Működési bevételek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  <w:t>1.078.305.733 Ft</w:t>
      </w:r>
    </w:p>
    <w:p w:rsidR="00350CDF" w:rsidRPr="00350CDF" w:rsidRDefault="00350CDF" w:rsidP="00350CDF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>Felhalmozási bevételek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  <w:t>24.787.628 Ft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</w:r>
    </w:p>
    <w:p w:rsidR="00350CDF" w:rsidRPr="00350CDF" w:rsidRDefault="00350CDF" w:rsidP="00350CDF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>Működési célú átvett pénzeszköz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  <w:t>56.424.882 Ft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</w:r>
    </w:p>
    <w:p w:rsidR="00350CDF" w:rsidRPr="00350CDF" w:rsidRDefault="00350CDF" w:rsidP="00350CDF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>Felhalmozási célú átvett pénzeszköz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  <w:t>61.890.768 Ft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</w:r>
    </w:p>
    <w:p w:rsidR="00350CDF" w:rsidRPr="00350CDF" w:rsidRDefault="00350CDF" w:rsidP="00350CDF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>Hitel, kölcsönfelvétel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  <w:t>150.000.000 Ft</w:t>
      </w:r>
    </w:p>
    <w:p w:rsidR="00350CDF" w:rsidRPr="00350CDF" w:rsidRDefault="00350CDF" w:rsidP="00350CDF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>Értékpapírok bevételei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  <w:t>63.071.000 Ft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</w:r>
    </w:p>
    <w:p w:rsidR="00350CDF" w:rsidRPr="00350CDF" w:rsidRDefault="00350CDF" w:rsidP="00350CDF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>Államháztatáson belüli megelőlegezés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  <w:t>0 Ft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</w:r>
    </w:p>
    <w:p w:rsidR="00350CDF" w:rsidRPr="00350CDF" w:rsidRDefault="00350CDF" w:rsidP="00350CDF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>Maradvány igénybevétele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  <w:t>3.787.657.614 Ft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</w:r>
    </w:p>
    <w:p w:rsidR="00350CDF" w:rsidRPr="00350CDF" w:rsidRDefault="00350CDF" w:rsidP="00350CDF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>Irányítószervi támogatás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  <w:t>1.984.449.587 Ft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</w:r>
    </w:p>
    <w:p w:rsidR="00350CDF" w:rsidRPr="00350CDF" w:rsidRDefault="00350CDF" w:rsidP="00350CDF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>Betétek megszüntetése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  <w:t>0 Ft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</w:r>
    </w:p>
    <w:p w:rsidR="00350CDF" w:rsidRPr="00350CDF" w:rsidRDefault="00350CDF" w:rsidP="00350CDF">
      <w:pPr>
        <w:tabs>
          <w:tab w:val="left" w:pos="709"/>
          <w:tab w:val="right" w:pos="5954"/>
          <w:tab w:val="right" w:pos="79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color w:val="FF0000"/>
          <w:lang w:eastAsia="hu-HU"/>
        </w:rPr>
        <w:tab/>
      </w:r>
    </w:p>
    <w:p w:rsidR="00350CDF" w:rsidRPr="00350CDF" w:rsidRDefault="00350CDF" w:rsidP="00350CDF">
      <w:pPr>
        <w:tabs>
          <w:tab w:val="right" w:pos="7371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i/>
          <w:lang w:eastAsia="hu-HU"/>
        </w:rPr>
        <w:t>A bevételi főösszeg részletezését az 1., 2. és 2/A. mellékletek tartalmazzák.”</w:t>
      </w:r>
    </w:p>
    <w:p w:rsidR="00350CDF" w:rsidRPr="00350CDF" w:rsidRDefault="00350CDF" w:rsidP="00350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</w:p>
    <w:p w:rsidR="00350CDF" w:rsidRPr="00350CDF" w:rsidRDefault="00350CDF" w:rsidP="00350C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lang w:eastAsia="hu-HU"/>
        </w:rPr>
        <w:t>(2) A Rendelet 4.§ (2) bekezdése helyébe az alábbi rendelkezés lép:</w:t>
      </w:r>
    </w:p>
    <w:p w:rsidR="00350CDF" w:rsidRDefault="00350CDF" w:rsidP="00350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0F316A" w:rsidRDefault="000F316A" w:rsidP="00350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0F316A" w:rsidRDefault="000F316A" w:rsidP="00350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0F316A" w:rsidRDefault="000F316A" w:rsidP="000F316A">
      <w:pPr>
        <w:tabs>
          <w:tab w:val="left" w:pos="851"/>
          <w:tab w:val="right" w:pos="5954"/>
          <w:tab w:val="righ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lang w:eastAsia="hu-HU"/>
        </w:rPr>
        <w:lastRenderedPageBreak/>
        <w:t>- 2 -</w:t>
      </w:r>
    </w:p>
    <w:p w:rsidR="000F316A" w:rsidRDefault="000F316A" w:rsidP="00350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0F316A" w:rsidRDefault="000F316A" w:rsidP="00350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0F316A" w:rsidRPr="00350CDF" w:rsidRDefault="000F316A" w:rsidP="00350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350CDF" w:rsidRPr="00350CDF" w:rsidRDefault="00350CDF" w:rsidP="00350CD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i/>
          <w:lang w:eastAsia="hu-HU"/>
        </w:rPr>
        <w:t>„(2) A Képviselő-testület a 3.§ (1) bekezdés 1. pontjában megállapított költségvetési főösszeget kiadási előirányzatok szerinti bontásban az alábbiak szerint hagyja jóvá:</w:t>
      </w:r>
    </w:p>
    <w:p w:rsidR="00350CDF" w:rsidRPr="00350CDF" w:rsidRDefault="00350CDF" w:rsidP="00350CD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color w:val="FF0000"/>
          <w:lang w:eastAsia="hu-HU"/>
        </w:rPr>
      </w:pPr>
    </w:p>
    <w:p w:rsidR="00350CDF" w:rsidRPr="00350CDF" w:rsidRDefault="00350CDF" w:rsidP="00350CDF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>Személyi juttatások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  <w:t>1.777.098.243 Ft</w:t>
      </w:r>
    </w:p>
    <w:p w:rsidR="00FF339A" w:rsidRPr="000F316A" w:rsidRDefault="00350CDF" w:rsidP="00FF339A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0F316A"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Munkaadókat terhelő járulékok </w:t>
      </w:r>
      <w:r w:rsidRPr="000F316A">
        <w:rPr>
          <w:rFonts w:ascii="Times New Roman" w:eastAsia="Times New Roman" w:hAnsi="Times New Roman" w:cs="Times New Roman"/>
          <w:b/>
          <w:bCs/>
          <w:iCs/>
          <w:lang w:eastAsia="hu-HU"/>
        </w:rPr>
        <w:tab/>
        <w:t>315.538.396 Ft</w:t>
      </w:r>
    </w:p>
    <w:p w:rsidR="00350CDF" w:rsidRPr="00350CDF" w:rsidRDefault="00350CDF" w:rsidP="00350CDF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>Dologi kiadások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  <w:t>2.635.710.754 Ft</w:t>
      </w:r>
    </w:p>
    <w:p w:rsidR="00350CDF" w:rsidRPr="00350CDF" w:rsidRDefault="00350CDF" w:rsidP="00350CDF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>Ellátottak pénzbeli juttatásai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  <w:t>56.524.000 Ft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</w:r>
    </w:p>
    <w:p w:rsidR="00350CDF" w:rsidRPr="00350CDF" w:rsidRDefault="00350CDF" w:rsidP="00350CDF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>Egyéb működési célú kiadások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  <w:t>1.399.441.859 Ft</w:t>
      </w:r>
    </w:p>
    <w:p w:rsidR="00350CDF" w:rsidRPr="00350CDF" w:rsidRDefault="00350CDF" w:rsidP="00350CDF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>Beruházások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  <w:t>3.396.314.064 Ft</w:t>
      </w:r>
    </w:p>
    <w:p w:rsidR="00350CDF" w:rsidRPr="00350CDF" w:rsidRDefault="00350CDF" w:rsidP="00350CDF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>Felújítások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  <w:t>1.180.298.250 Ft</w:t>
      </w:r>
    </w:p>
    <w:p w:rsidR="00350CDF" w:rsidRPr="00350CDF" w:rsidRDefault="00350CDF" w:rsidP="00350CDF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>Egyéb felhalmozási célú kiadások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  <w:t>240.413.649 Ft</w:t>
      </w:r>
    </w:p>
    <w:p w:rsidR="00350CDF" w:rsidRPr="00350CDF" w:rsidRDefault="00350CDF" w:rsidP="00350CDF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>Tartalékok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  <w:t>430.726.205 Ft</w:t>
      </w:r>
    </w:p>
    <w:p w:rsidR="00350CDF" w:rsidRPr="00350CDF" w:rsidRDefault="00350CDF" w:rsidP="00350CDF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>Hitel, kölcsöntörlesztés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  <w:t>72.794.116 Ft</w:t>
      </w:r>
    </w:p>
    <w:p w:rsidR="00350CDF" w:rsidRPr="00350CDF" w:rsidRDefault="00350CDF" w:rsidP="00350CDF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>Értékpapírok kiadásai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  <w:t>0 Ft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</w:r>
    </w:p>
    <w:p w:rsidR="00350CDF" w:rsidRPr="00350CDF" w:rsidRDefault="00350CDF" w:rsidP="00350CDF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proofErr w:type="spellStart"/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>Áht</w:t>
      </w:r>
      <w:proofErr w:type="spellEnd"/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>-n belüli megelőlegezés törlesztése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  <w:t>57.721.398 Ft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</w:r>
    </w:p>
    <w:p w:rsidR="00350CDF" w:rsidRPr="00350CDF" w:rsidRDefault="00350CDF" w:rsidP="00350CDF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>Irányítószervi támogatás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  <w:t>1.984.449.587 Ft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</w:r>
    </w:p>
    <w:p w:rsidR="00350CDF" w:rsidRPr="00350CDF" w:rsidRDefault="00350CDF" w:rsidP="00350CDF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>Betét elhelyezés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  <w:t>0 Ft</w:t>
      </w:r>
      <w:r w:rsidRPr="00350CDF">
        <w:rPr>
          <w:rFonts w:ascii="Times New Roman" w:eastAsia="Times New Roman" w:hAnsi="Times New Roman" w:cs="Times New Roman"/>
          <w:b/>
          <w:bCs/>
          <w:iCs/>
          <w:lang w:eastAsia="hu-HU"/>
        </w:rPr>
        <w:tab/>
      </w:r>
    </w:p>
    <w:p w:rsidR="00350CDF" w:rsidRDefault="00350CDF" w:rsidP="00350CDF">
      <w:pPr>
        <w:tabs>
          <w:tab w:val="right" w:pos="7088"/>
          <w:tab w:val="right" w:pos="9356"/>
        </w:tabs>
        <w:spacing w:after="0" w:line="220" w:lineRule="exact"/>
        <w:rPr>
          <w:rFonts w:ascii="Times New Roman" w:eastAsia="Times New Roman" w:hAnsi="Times New Roman" w:cs="Times New Roman"/>
          <w:b/>
          <w:bCs/>
          <w:iCs/>
          <w:lang w:eastAsia="hu-HU"/>
        </w:rPr>
      </w:pPr>
    </w:p>
    <w:p w:rsidR="00FF339A" w:rsidRPr="00350CDF" w:rsidRDefault="00FF339A" w:rsidP="00350CDF">
      <w:pPr>
        <w:tabs>
          <w:tab w:val="right" w:pos="7088"/>
          <w:tab w:val="right" w:pos="9356"/>
        </w:tabs>
        <w:spacing w:after="0" w:line="220" w:lineRule="exact"/>
        <w:rPr>
          <w:rFonts w:ascii="Times New Roman" w:eastAsia="Times New Roman" w:hAnsi="Times New Roman" w:cs="Times New Roman"/>
          <w:b/>
          <w:bCs/>
          <w:iCs/>
          <w:lang w:eastAsia="hu-HU"/>
        </w:rPr>
      </w:pPr>
    </w:p>
    <w:p w:rsidR="00350CDF" w:rsidRPr="00350CDF" w:rsidRDefault="00350CDF" w:rsidP="00350CDF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i/>
          <w:lang w:eastAsia="hu-HU"/>
        </w:rPr>
        <w:t>A kiadási főösszeg intézmények és feladatok szerinti részletezését az 1., 3., és a 3/A-3/D. mellékletek tartalmazzák.”</w:t>
      </w:r>
    </w:p>
    <w:p w:rsidR="00350CDF" w:rsidRDefault="00350CDF" w:rsidP="00350CDF">
      <w:pPr>
        <w:keepNext/>
        <w:spacing w:after="0" w:line="22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</w:p>
    <w:p w:rsidR="00FF339A" w:rsidRPr="00350CDF" w:rsidRDefault="00FF339A" w:rsidP="00350CDF">
      <w:pPr>
        <w:keepNext/>
        <w:spacing w:after="0" w:line="22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</w:p>
    <w:p w:rsidR="00350CDF" w:rsidRPr="00350CDF" w:rsidRDefault="00350CDF" w:rsidP="00350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lang w:eastAsia="hu-HU"/>
        </w:rPr>
        <w:t>3.§</w:t>
      </w:r>
    </w:p>
    <w:p w:rsidR="00350CDF" w:rsidRDefault="00350CDF" w:rsidP="00350CDF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FF339A" w:rsidRPr="00350CDF" w:rsidRDefault="00FF339A" w:rsidP="00350CDF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350CDF" w:rsidRPr="00350CDF" w:rsidRDefault="00350CDF" w:rsidP="00350C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350CDF">
        <w:rPr>
          <w:rFonts w:ascii="Times New Roman" w:eastAsia="Times New Roman" w:hAnsi="Times New Roman" w:cs="Times New Roman"/>
          <w:b/>
          <w:bCs/>
          <w:lang w:eastAsia="hu-HU"/>
        </w:rPr>
        <w:t>A Rendelet kihirdetését követő napon lép hatályba, és hatályba lépését követő napon hatályát veszti.</w:t>
      </w:r>
    </w:p>
    <w:p w:rsidR="00350CDF" w:rsidRPr="00350CDF" w:rsidRDefault="00350CDF" w:rsidP="00350C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350CDF" w:rsidRPr="00350CDF" w:rsidRDefault="00350CDF" w:rsidP="00350C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350CDF" w:rsidRDefault="00350CDF" w:rsidP="00350C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FF339A" w:rsidRDefault="00FF339A" w:rsidP="00350C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FF339A" w:rsidRDefault="00FF339A" w:rsidP="00350C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FF339A" w:rsidRDefault="00FF339A" w:rsidP="00350C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FF339A" w:rsidRDefault="00FF339A" w:rsidP="00350C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FF339A" w:rsidRDefault="00FF339A" w:rsidP="00350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                       Hiesz György                                      Dr. Kozma Katalin</w:t>
      </w:r>
    </w:p>
    <w:p w:rsidR="00FF339A" w:rsidRPr="00350CDF" w:rsidRDefault="00FF339A" w:rsidP="00350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                       polgármester                                                  jegyző</w:t>
      </w:r>
    </w:p>
    <w:p w:rsidR="00350CDF" w:rsidRPr="00350CDF" w:rsidRDefault="00350CDF" w:rsidP="00350C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</w:p>
    <w:p w:rsidR="000108F7" w:rsidRDefault="000108F7">
      <w:pPr>
        <w:rPr>
          <w:rFonts w:ascii="Times New Roman" w:hAnsi="Times New Roman" w:cs="Times New Roman"/>
          <w:b/>
          <w:bCs/>
        </w:rPr>
      </w:pPr>
    </w:p>
    <w:p w:rsidR="00603B37" w:rsidRDefault="00603B37">
      <w:pPr>
        <w:rPr>
          <w:rFonts w:ascii="Times New Roman" w:hAnsi="Times New Roman" w:cs="Times New Roman"/>
          <w:b/>
          <w:bCs/>
        </w:rPr>
      </w:pPr>
    </w:p>
    <w:p w:rsidR="00603B37" w:rsidRDefault="00603B37">
      <w:pPr>
        <w:rPr>
          <w:rFonts w:ascii="Times New Roman" w:hAnsi="Times New Roman" w:cs="Times New Roman"/>
          <w:b/>
          <w:bCs/>
        </w:rPr>
      </w:pPr>
    </w:p>
    <w:p w:rsidR="00603B37" w:rsidRPr="00603B37" w:rsidRDefault="00603B37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03B37">
        <w:rPr>
          <w:rFonts w:ascii="Times New Roman" w:hAnsi="Times New Roman" w:cs="Times New Roman"/>
          <w:b/>
          <w:bCs/>
          <w:i/>
          <w:iCs/>
          <w:sz w:val="26"/>
          <w:szCs w:val="26"/>
        </w:rPr>
        <w:t>* A rendeletet Gyöngyös Város Polgármestere fogadta el 2020. március 26-án.</w:t>
      </w:r>
    </w:p>
    <w:sectPr w:rsidR="00603B37" w:rsidRPr="0060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954BB"/>
    <w:multiLevelType w:val="hybridMultilevel"/>
    <w:tmpl w:val="8DEE8E44"/>
    <w:lvl w:ilvl="0" w:tplc="0A9A0C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" w15:restartNumberingAfterBreak="0">
    <w:nsid w:val="649A34BB"/>
    <w:multiLevelType w:val="hybridMultilevel"/>
    <w:tmpl w:val="5C80F402"/>
    <w:lvl w:ilvl="0" w:tplc="0A9A0C2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DF"/>
    <w:rsid w:val="000108F7"/>
    <w:rsid w:val="000F316A"/>
    <w:rsid w:val="00350CDF"/>
    <w:rsid w:val="00547BFD"/>
    <w:rsid w:val="005A1162"/>
    <w:rsid w:val="00603B37"/>
    <w:rsid w:val="00651B6E"/>
    <w:rsid w:val="00BC67B7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BB963-A3F1-41C1-9F47-D441F450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3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Gyurka Zoltánné</dc:creator>
  <cp:keywords/>
  <dc:description/>
  <cp:lastModifiedBy>Gyurka Zoltánné</cp:lastModifiedBy>
  <cp:revision>2</cp:revision>
  <dcterms:created xsi:type="dcterms:W3CDTF">2020-04-06T07:36:00Z</dcterms:created>
  <dcterms:modified xsi:type="dcterms:W3CDTF">2020-04-06T07:36:00Z</dcterms:modified>
</cp:coreProperties>
</file>