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9C" w:rsidRDefault="000A769C" w:rsidP="000A769C">
      <w:pPr>
        <w:shd w:val="clear" w:color="auto" w:fill="FFFFFF"/>
        <w:spacing w:after="45" w:line="310" w:lineRule="atLeast"/>
        <w:ind w:firstLine="240"/>
        <w:jc w:val="right"/>
        <w:rPr>
          <w:rFonts w:ascii="Arial" w:eastAsia="Times New Roman" w:hAnsi="Arial" w:cs="Arial"/>
          <w:b/>
          <w:bCs/>
          <w:i/>
          <w:iCs/>
          <w:color w:val="000000"/>
          <w:vertAlign w:val="superscript"/>
          <w:lang w:eastAsia="hu-HU"/>
        </w:rPr>
      </w:pPr>
      <w:r w:rsidRPr="000A769C"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  <w:t>3. melléklet a 2004. évi II. törvényhez</w:t>
      </w:r>
      <w:hyperlink r:id="rId4" w:anchor="sup458" w:history="1">
        <w:r w:rsidRPr="000A769C">
          <w:rPr>
            <w:rFonts w:ascii="Arial" w:eastAsia="Times New Roman" w:hAnsi="Arial" w:cs="Arial"/>
            <w:b/>
            <w:bCs/>
            <w:i/>
            <w:iCs/>
            <w:color w:val="000000"/>
            <w:u w:val="single"/>
            <w:vertAlign w:val="superscript"/>
            <w:lang w:eastAsia="hu-HU"/>
          </w:rPr>
          <w:t>458</w:t>
        </w:r>
      </w:hyperlink>
      <w:r w:rsidRPr="000A769C">
        <w:rPr>
          <w:rFonts w:ascii="Arial" w:eastAsia="Times New Roman" w:hAnsi="Arial" w:cs="Arial"/>
          <w:b/>
          <w:bCs/>
          <w:i/>
          <w:iCs/>
          <w:color w:val="000000"/>
          <w:vertAlign w:val="superscript"/>
          <w:lang w:eastAsia="hu-HU"/>
        </w:rPr>
        <w:t> </w:t>
      </w:r>
    </w:p>
    <w:p w:rsidR="000A769C" w:rsidRPr="000A769C" w:rsidRDefault="000A769C" w:rsidP="000A769C">
      <w:pPr>
        <w:shd w:val="clear" w:color="auto" w:fill="FFFFFF"/>
        <w:spacing w:after="45" w:line="310" w:lineRule="atLeast"/>
        <w:ind w:firstLine="240"/>
        <w:jc w:val="right"/>
        <w:rPr>
          <w:rFonts w:ascii="Arial" w:eastAsia="Times New Roman" w:hAnsi="Arial" w:cs="Arial"/>
          <w:color w:val="000000"/>
          <w:lang w:eastAsia="hu-HU"/>
        </w:rPr>
      </w:pPr>
    </w:p>
    <w:p w:rsidR="000A769C" w:rsidRDefault="000A769C" w:rsidP="000A769C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</w:pPr>
      <w:r w:rsidRPr="000A769C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 xml:space="preserve">A települési önkormányzat tulajdonában álló közterületek filmforgatási célú használatának díjai </w:t>
      </w:r>
    </w:p>
    <w:p w:rsidR="000A769C" w:rsidRPr="000A769C" w:rsidRDefault="000A769C" w:rsidP="000A769C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A769C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>a használat célja szerint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548"/>
        <w:gridCol w:w="1107"/>
        <w:gridCol w:w="1147"/>
        <w:gridCol w:w="1548"/>
        <w:gridCol w:w="1107"/>
        <w:gridCol w:w="1280"/>
        <w:gridCol w:w="601"/>
      </w:tblGrid>
      <w:tr w:rsidR="000A769C" w:rsidRPr="000A769C" w:rsidTr="000A769C">
        <w:tc>
          <w:tcPr>
            <w:tcW w:w="4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hd w:val="clear" w:color="auto" w:fill="FFFFFF"/>
              <w:spacing w:after="0" w:line="310" w:lineRule="atLeast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u-HU"/>
              </w:rPr>
            </w:pPr>
          </w:p>
        </w:tc>
        <w:tc>
          <w:tcPr>
            <w:tcW w:w="2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c>
          <w:tcPr>
            <w:tcW w:w="435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48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Közterület-besorolás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Forgatási terület</w:t>
            </w: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(F)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Technikai terület</w:t>
            </w: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(T)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Stábparkolási terület</w:t>
            </w: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(P)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Kiürítési terület</w:t>
            </w: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(K)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Közlekedés elől elzárt terület</w:t>
            </w: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(E)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c>
          <w:tcPr>
            <w:tcW w:w="435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0A769C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0A769C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0A769C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0A769C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Ft/m</w:t>
            </w:r>
            <w:r w:rsidRPr="000A769C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0A76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/nap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rPr>
          <w:trHeight w:val="359"/>
        </w:trPr>
        <w:tc>
          <w:tcPr>
            <w:tcW w:w="435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48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világörökségről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 </w:t>
            </w:r>
            <w:hyperlink r:id="rId5" w:tgtFrame="_blank" w:history="1">
              <w:r w:rsidRPr="000A76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hu-HU"/>
                </w:rPr>
                <w:t>2011. évi LXXVII. törvény 1. mellékletében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felsorolt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világörökségi területek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2 084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1 042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521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521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rPr>
          <w:trHeight w:val="576"/>
        </w:trPr>
        <w:tc>
          <w:tcPr>
            <w:tcW w:w="435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89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Töredék nap esetén az alábbi díjak érvényesek*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c>
          <w:tcPr>
            <w:tcW w:w="435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1042*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521*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261*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261*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c>
          <w:tcPr>
            <w:tcW w:w="435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Budapest turisztikailag kiemelt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területei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833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416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c>
          <w:tcPr>
            <w:tcW w:w="435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89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Töredék nap esetén az alábbi díjak érvényesek*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rPr>
          <w:trHeight w:val="67"/>
        </w:trPr>
        <w:tc>
          <w:tcPr>
            <w:tcW w:w="435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416*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208*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104*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104*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rPr>
          <w:trHeight w:val="423"/>
        </w:trPr>
        <w:tc>
          <w:tcPr>
            <w:tcW w:w="435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48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Budapest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Közigazgatási határán belüli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területek az 1-2.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kategórián kívül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312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rPr>
          <w:trHeight w:val="499"/>
        </w:trPr>
        <w:tc>
          <w:tcPr>
            <w:tcW w:w="435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89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Töredék nap esetén az alábbi díjak érvényesek*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c>
          <w:tcPr>
            <w:tcW w:w="435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156*</w:t>
            </w:r>
          </w:p>
        </w:tc>
        <w:tc>
          <w:tcPr>
            <w:tcW w:w="1147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78*</w:t>
            </w:r>
          </w:p>
        </w:tc>
        <w:tc>
          <w:tcPr>
            <w:tcW w:w="1548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52*</w:t>
            </w:r>
          </w:p>
        </w:tc>
        <w:tc>
          <w:tcPr>
            <w:tcW w:w="1107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52*</w:t>
            </w:r>
          </w:p>
        </w:tc>
        <w:tc>
          <w:tcPr>
            <w:tcW w:w="1280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c>
          <w:tcPr>
            <w:tcW w:w="435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7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7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7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769C" w:rsidRPr="000A769C" w:rsidTr="000A769C">
        <w:trPr>
          <w:trHeight w:val="387"/>
        </w:trPr>
        <w:tc>
          <w:tcPr>
            <w:tcW w:w="435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548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város, a megyei jogú város, a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járásszékhely város, a község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turisztikailag kiemelt területei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521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rPr>
          <w:trHeight w:val="604"/>
        </w:trPr>
        <w:tc>
          <w:tcPr>
            <w:tcW w:w="435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89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Töredék nap esetén az alábbi díjak érvényesek*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CA316D">
        <w:tc>
          <w:tcPr>
            <w:tcW w:w="435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261*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104*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104*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104*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rPr>
          <w:trHeight w:val="497"/>
        </w:trPr>
        <w:tc>
          <w:tcPr>
            <w:tcW w:w="435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48" w:type="dxa"/>
            <w:vMerge w:val="restart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város, a megyei jogú város, a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járásszékhely város, a község nem</w:t>
            </w:r>
          </w:p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turisztikailag kiemelt területei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0A769C">
        <w:trPr>
          <w:trHeight w:val="714"/>
        </w:trPr>
        <w:tc>
          <w:tcPr>
            <w:tcW w:w="435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89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Töredék nap esetén az alábbi díjak érvényesek*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769C" w:rsidRPr="000A769C" w:rsidTr="003243F4">
        <w:tc>
          <w:tcPr>
            <w:tcW w:w="435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8" w:type="dxa"/>
            <w:vMerge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104*</w:t>
            </w:r>
          </w:p>
        </w:tc>
        <w:tc>
          <w:tcPr>
            <w:tcW w:w="114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78*</w:t>
            </w:r>
          </w:p>
        </w:tc>
        <w:tc>
          <w:tcPr>
            <w:tcW w:w="1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52*</w:t>
            </w:r>
          </w:p>
        </w:tc>
        <w:tc>
          <w:tcPr>
            <w:tcW w:w="110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52*</w:t>
            </w:r>
          </w:p>
        </w:tc>
        <w:tc>
          <w:tcPr>
            <w:tcW w:w="12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7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5*</w:t>
            </w:r>
          </w:p>
        </w:tc>
        <w:tc>
          <w:tcPr>
            <w:tcW w:w="601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69C" w:rsidRPr="000A769C" w:rsidRDefault="000A769C" w:rsidP="000A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A769C" w:rsidRDefault="000A769C" w:rsidP="000A769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0A769C" w:rsidRPr="000A769C" w:rsidRDefault="000A769C" w:rsidP="000A769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bookmarkStart w:id="0" w:name="_GoBack"/>
      <w:bookmarkEnd w:id="0"/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melléklet alkalmazásában:</w:t>
      </w:r>
    </w:p>
    <w:p w:rsidR="000A769C" w:rsidRPr="000A769C" w:rsidRDefault="000A769C" w:rsidP="000A769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közlekedés elől elzárt terület: A filmforgatás által nem használt, de a filmforgatás érdekében a gyalogos és a járműközlekedés elől elzárt terület. A biztonsági terület nagyságának a forgatási terület nagyságával arányos mértékben kell állnia. Az arányosság mértéke a közút kezelője által elfogadott forgalomtechnikai terv alapján kerül meghatározásra.</w:t>
      </w:r>
    </w:p>
    <w:p w:rsidR="000A769C" w:rsidRPr="000A769C" w:rsidRDefault="000A769C" w:rsidP="000A769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forgatási terület: A filmforgatás során a felvételi képmezőben szereplő színészek, egyéb közreműködők, díszletelemek, berendezési tárgyak, kellékek, járművek által elfoglalt terület.</w:t>
      </w:r>
    </w:p>
    <w:p w:rsidR="000A769C" w:rsidRPr="000A769C" w:rsidRDefault="000A769C" w:rsidP="000A769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lastRenderedPageBreak/>
        <w:t>c)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kiürítési terület: A </w:t>
      </w: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 </w:t>
      </w: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és </w:t>
      </w: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pont szerinti kategóriákba tartozó területeken, a filmforgatási napot megelőző napon, kifejezetten a forgatási, technikai, illetve a stábparkolási terület kiürítésének szándékával igénybe vett terület, amennyiben a területen a </w:t>
      </w: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pont szerinti tevékenységen kívül más nem történik.</w:t>
      </w:r>
    </w:p>
    <w:p w:rsidR="000A769C" w:rsidRPr="000A769C" w:rsidRDefault="000A769C" w:rsidP="000A769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stábparkolási terület: A </w:t>
      </w: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és </w:t>
      </w: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pont szerinti kategóriákba nem tartozó, a forgatás és technikai kiszolgálás helyszínétől területileg elválasztható háttérkiszolgáló egységek és járművek által elfoglalt terület.</w:t>
      </w:r>
    </w:p>
    <w:p w:rsidR="000A769C" w:rsidRPr="000A769C" w:rsidRDefault="000A769C" w:rsidP="000A769C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0A7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0A76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technikai terület: A filmforgatási helyszín közvetlen környezetében felvonuló, a filmforgatás technikai megvalósulását elősegítő eszközök (különösen kamerák, világító és hangrögzítő berendezések), az azt kezelő stáb, műszaki személyzet, a filmforgatást közvetlenül kiszolgáló egyéb egységek és járművek által elfoglalt terület.</w:t>
      </w:r>
    </w:p>
    <w:p w:rsidR="00E84550" w:rsidRDefault="00E84550"/>
    <w:sectPr w:rsidR="00E8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9C"/>
    <w:rsid w:val="000A769C"/>
    <w:rsid w:val="00AE2FF3"/>
    <w:rsid w:val="00E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3658"/>
  <w15:chartTrackingRefBased/>
  <w15:docId w15:val="{3B7E4DB2-104B-4DE6-9783-1AA8F294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0A769C"/>
  </w:style>
  <w:style w:type="character" w:styleId="Hiperhivatkozs">
    <w:name w:val="Hyperlink"/>
    <w:basedOn w:val="Bekezdsalapbettpusa"/>
    <w:uiPriority w:val="99"/>
    <w:semiHidden/>
    <w:unhideWhenUsed/>
    <w:rsid w:val="000A76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1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1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2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9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tijus.hu/optijus/lawtext/A1100077.TV/tvalid/2018.1.1./tsid/lawrefm(1)" TargetMode="External"/><Relationship Id="rId4" Type="http://schemas.openxmlformats.org/officeDocument/2006/relationships/hyperlink" Target="https://optijus.hu/optijus/lawtext/1-A040000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Jávorszkiné Gubancsik Gréta</dc:creator>
  <cp:keywords/>
  <dc:description/>
  <cp:lastModifiedBy>Jávorszkiné Gubancsik Gréta</cp:lastModifiedBy>
  <cp:revision>1</cp:revision>
  <cp:lastPrinted>2018-03-12T11:55:00Z</cp:lastPrinted>
  <dcterms:created xsi:type="dcterms:W3CDTF">2018-03-12T11:48:00Z</dcterms:created>
  <dcterms:modified xsi:type="dcterms:W3CDTF">2018-03-12T11:55:00Z</dcterms:modified>
</cp:coreProperties>
</file>