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389" w:rsidRDefault="00A47389" w:rsidP="00FB4686">
      <w:pPr>
        <w:keepNext/>
        <w:spacing w:after="0" w:line="240" w:lineRule="auto"/>
        <w:jc w:val="center"/>
        <w:outlineLvl w:val="0"/>
        <w:rPr>
          <w:rFonts w:ascii="Times New Roman" w:eastAsia="Times New Roman" w:hAnsi="Times New Roman" w:cs="Times New Roman"/>
          <w:b/>
          <w:kern w:val="28"/>
          <w:sz w:val="24"/>
          <w:szCs w:val="24"/>
          <w:lang w:eastAsia="hu-HU"/>
        </w:rPr>
      </w:pPr>
    </w:p>
    <w:p w:rsidR="00FB4686" w:rsidRPr="00FB4686" w:rsidRDefault="00FB4686" w:rsidP="00FB4686">
      <w:pPr>
        <w:keepNext/>
        <w:spacing w:after="0" w:line="240" w:lineRule="auto"/>
        <w:jc w:val="center"/>
        <w:outlineLvl w:val="0"/>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b/>
          <w:kern w:val="28"/>
          <w:sz w:val="24"/>
          <w:szCs w:val="24"/>
          <w:lang w:eastAsia="hu-HU"/>
        </w:rPr>
        <w:t>PÁLYÁZATI FELHÍVÁS</w:t>
      </w:r>
    </w:p>
    <w:p w:rsidR="00FB4686" w:rsidRPr="00FB4686" w:rsidRDefault="00FB4686" w:rsidP="00FB4686">
      <w:pPr>
        <w:spacing w:after="0" w:line="240" w:lineRule="auto"/>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Gyöngyös Város Önkormányzata Képviselő-testületének Idegenforgalmi, Ifjúsági és Sportbizottsága 2018. évre pályázato</w:t>
      </w:r>
      <w:r w:rsidR="00D65B14">
        <w:rPr>
          <w:rFonts w:ascii="Times New Roman" w:eastAsia="Times New Roman" w:hAnsi="Times New Roman" w:cs="Times New Roman"/>
          <w:kern w:val="28"/>
          <w:sz w:val="24"/>
          <w:szCs w:val="24"/>
          <w:lang w:eastAsia="hu-HU"/>
        </w:rPr>
        <w:t>t hirdet a helyi szervezetek,</w:t>
      </w:r>
      <w:r w:rsidRPr="00FB4686">
        <w:rPr>
          <w:rFonts w:ascii="Times New Roman" w:eastAsia="Times New Roman" w:hAnsi="Times New Roman" w:cs="Times New Roman"/>
          <w:kern w:val="28"/>
          <w:sz w:val="24"/>
          <w:szCs w:val="24"/>
          <w:lang w:eastAsia="hu-HU"/>
        </w:rPr>
        <w:t xml:space="preserve"> intézmények, alapítványok, nemzetiségi önkormányzatok és magánszemélyek </w:t>
      </w:r>
      <w:r w:rsidRPr="00D65B14">
        <w:rPr>
          <w:rFonts w:ascii="Times New Roman" w:eastAsia="Times New Roman" w:hAnsi="Times New Roman" w:cs="Times New Roman"/>
          <w:b/>
          <w:kern w:val="28"/>
          <w:sz w:val="24"/>
          <w:szCs w:val="24"/>
          <w:lang w:eastAsia="hu-HU"/>
        </w:rPr>
        <w:t xml:space="preserve">sporttevékenységének </w:t>
      </w:r>
      <w:r w:rsidRPr="005337B5">
        <w:rPr>
          <w:rFonts w:ascii="Times New Roman" w:eastAsia="Times New Roman" w:hAnsi="Times New Roman" w:cs="Times New Roman"/>
          <w:kern w:val="28"/>
          <w:sz w:val="24"/>
          <w:szCs w:val="24"/>
          <w:lang w:eastAsia="hu-HU"/>
        </w:rPr>
        <w:t>támogatására</w:t>
      </w:r>
      <w:r w:rsidRPr="00FB4686">
        <w:rPr>
          <w:rFonts w:ascii="Times New Roman" w:eastAsia="Times New Roman" w:hAnsi="Times New Roman" w:cs="Times New Roman"/>
          <w:kern w:val="28"/>
          <w:sz w:val="24"/>
          <w:szCs w:val="24"/>
          <w:lang w:eastAsia="hu-HU"/>
        </w:rPr>
        <w:t>. Továbbá azon helyi szervezet, intézmény részére is, amelynek bejegyzett országos vagy regionális szervezete Gyöngyös város közigazgatási területén szervezeti egységgel rendelkezik, vagy tevékenységét kizárólag vagy elsősorban Gyöngyös lakossága érdekében végzi. A nem gyöngyösi székhelyű helyi szervezetnek, intézménynek az Önkormányzat közigazgatási területén belül kell működnie.</w:t>
      </w: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A támogatás az Ön</w:t>
      </w:r>
      <w:bookmarkStart w:id="0" w:name="_GoBack"/>
      <w:bookmarkEnd w:id="0"/>
      <w:r w:rsidRPr="00FB4686">
        <w:rPr>
          <w:rFonts w:ascii="Times New Roman" w:eastAsia="Times New Roman" w:hAnsi="Times New Roman" w:cs="Times New Roman"/>
          <w:kern w:val="28"/>
          <w:sz w:val="24"/>
          <w:szCs w:val="24"/>
          <w:lang w:eastAsia="hu-HU"/>
        </w:rPr>
        <w:t xml:space="preserve">kormányzat közigazgatási területén belül működő azon pályázóknak nyújtható, amelyeknek vagy akiknek a támogatott tevékenysége Gyöngyös város hírnevét és tekintélyét növelő események megvalósítására irányul, illetve a helyi érdekeket szolgálja. </w:t>
      </w:r>
    </w:p>
    <w:p w:rsidR="00FB4686" w:rsidRPr="00FB4686" w:rsidRDefault="00FB4686" w:rsidP="00FB4686">
      <w:pPr>
        <w:spacing w:after="0" w:line="240" w:lineRule="auto"/>
        <w:jc w:val="both"/>
        <w:rPr>
          <w:rFonts w:ascii="Times New Roman" w:eastAsia="Times New Roman" w:hAnsi="Times New Roman" w:cs="Times New Roman"/>
          <w:b/>
          <w:kern w:val="28"/>
          <w:sz w:val="24"/>
          <w:szCs w:val="24"/>
          <w:lang w:eastAsia="hu-HU"/>
        </w:rPr>
      </w:pP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 xml:space="preserve">Elszámolható költségek: </w:t>
      </w:r>
    </w:p>
    <w:p w:rsidR="00FB4686" w:rsidRPr="00FB4686" w:rsidRDefault="00FB4686" w:rsidP="00FB4686">
      <w:pPr>
        <w:numPr>
          <w:ilvl w:val="0"/>
          <w:numId w:val="2"/>
        </w:numPr>
        <w:spacing w:after="0" w:line="240" w:lineRule="auto"/>
        <w:ind w:left="357" w:hanging="357"/>
        <w:jc w:val="both"/>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 xml:space="preserve">rendezvény céljából igénybe vett hang-, fénytechnika bérlése, rendezői, szervező díj kifizetése, hatósági és egyéb a rendezvény megvalósításához szükséges engedélyek által szabott díjak kifizetése, sport és egyéb a rendezvény megvalósulását segítő eszköz vásárlása, díjazás céljából vásárolt jutalmak (serleg, érem, stb.), esemény reklámozására feladott hirdetések, plakátok, szórólapok, díjai, játékvezetői, sportbírói, rendezvények kapcsán orvosi ügyeleti díj költségei, sportlétesítmény bérleti díja, belépők és úszóbérlet, stb.,      </w:t>
      </w:r>
    </w:p>
    <w:p w:rsidR="00FB4686" w:rsidRPr="00FB4686" w:rsidRDefault="00FB4686" w:rsidP="00FB4686">
      <w:pPr>
        <w:numPr>
          <w:ilvl w:val="0"/>
          <w:numId w:val="2"/>
        </w:numPr>
        <w:spacing w:after="0" w:line="240" w:lineRule="auto"/>
        <w:ind w:left="357" w:hanging="357"/>
        <w:jc w:val="both"/>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 xml:space="preserve">a sportkör igazolt versenyzője számára utazási, nevezési vagy játékengedély díj, játékvezetői, sportbírói, versenyek kapcsán orvosi ügyeleti díj költségei, sporteszköz vásárlása, sportlétesítmény bérleti </w:t>
      </w:r>
      <w:proofErr w:type="gramStart"/>
      <w:r w:rsidRPr="00FB4686">
        <w:rPr>
          <w:rFonts w:ascii="Times New Roman" w:eastAsia="Times New Roman" w:hAnsi="Times New Roman" w:cs="Times New Roman"/>
          <w:kern w:val="28"/>
          <w:sz w:val="24"/>
          <w:szCs w:val="24"/>
          <w:lang w:eastAsia="hu-HU"/>
        </w:rPr>
        <w:t>díja,</w:t>
      </w:r>
      <w:proofErr w:type="gramEnd"/>
      <w:r w:rsidRPr="00FB4686">
        <w:rPr>
          <w:rFonts w:ascii="Times New Roman" w:eastAsia="Times New Roman" w:hAnsi="Times New Roman" w:cs="Times New Roman"/>
          <w:kern w:val="28"/>
          <w:sz w:val="24"/>
          <w:szCs w:val="24"/>
          <w:lang w:eastAsia="hu-HU"/>
        </w:rPr>
        <w:t xml:space="preserve"> stb.,  </w:t>
      </w:r>
    </w:p>
    <w:p w:rsidR="00FB4686" w:rsidRPr="00FB4686" w:rsidRDefault="00FB4686" w:rsidP="00FB4686">
      <w:pPr>
        <w:numPr>
          <w:ilvl w:val="0"/>
          <w:numId w:val="2"/>
        </w:numPr>
        <w:spacing w:after="0" w:line="240" w:lineRule="auto"/>
        <w:ind w:left="357" w:hanging="357"/>
        <w:jc w:val="both"/>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a sportkör tagjaként a magyar válogatott keretbe tartozó sportoló részére versenyzéssel kapcsolatos utazási, étkezési, sportfelszerelési, versenyre történő nevezési díj kiadásai.</w:t>
      </w: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Támogatás formája: vissza nem térítendő pénzbeli támogatás.</w:t>
      </w: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Az elbírálásnál előnyben részesülnek a pályázati célhoz önrésszel rendelkező pályázatok, valamint azok, amelyek illeszkednek Gyöngyös Város Önkormányzatának Sportfejlesztési Koncepciójában meghatározottakhoz.</w:t>
      </w: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A pályázó vállalja, hogy minden a pályázati programban megvalósuló rendezvényről – pl. meghívó küldésével – tájékoztatja a pályázat kiíróját.</w:t>
      </w:r>
    </w:p>
    <w:p w:rsidR="00FB4686" w:rsidRPr="00FB4686" w:rsidRDefault="00FB4686" w:rsidP="00FB4686">
      <w:pPr>
        <w:spacing w:after="0" w:line="240" w:lineRule="auto"/>
        <w:jc w:val="both"/>
        <w:rPr>
          <w:rFonts w:ascii="Times New Roman" w:eastAsia="Arial" w:hAnsi="Times New Roman" w:cs="Times New Roman"/>
          <w:kern w:val="28"/>
          <w:sz w:val="24"/>
          <w:szCs w:val="24"/>
          <w:lang w:eastAsia="hu-HU"/>
        </w:rPr>
      </w:pP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r w:rsidRPr="00FB4686">
        <w:rPr>
          <w:rFonts w:ascii="Times New Roman" w:eastAsia="Arial" w:hAnsi="Times New Roman" w:cs="Times New Roman"/>
          <w:kern w:val="28"/>
          <w:sz w:val="24"/>
          <w:szCs w:val="24"/>
          <w:lang w:eastAsia="hu-HU"/>
        </w:rPr>
        <w:t>Ugyanazon pályázati eljárás keretében egy pályázó csak egy pályázatot nyújthat be, azonban egy pályázaton belül támogatás több tevékenységhez is igényelhető.</w:t>
      </w: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 xml:space="preserve">Pályázni kizárólag „Pályázati adatlapon” lehet, amely a Polgármesteri Hivatal Közigazgatási és Intézményirányítási Igazgatóságán kérhető, vagy letölthető a </w:t>
      </w:r>
      <w:hyperlink r:id="rId7" w:history="1">
        <w:r w:rsidRPr="00FB4686">
          <w:rPr>
            <w:rFonts w:ascii="Times New Roman" w:eastAsia="Times New Roman" w:hAnsi="Times New Roman" w:cs="Times New Roman"/>
            <w:color w:val="0000FF"/>
            <w:kern w:val="28"/>
            <w:sz w:val="24"/>
            <w:szCs w:val="24"/>
            <w:u w:val="single"/>
            <w:lang w:eastAsia="hu-HU"/>
          </w:rPr>
          <w:t>www.gyongyos.hu</w:t>
        </w:r>
      </w:hyperlink>
      <w:r w:rsidRPr="00FB4686">
        <w:rPr>
          <w:rFonts w:ascii="Times New Roman" w:eastAsia="Times New Roman" w:hAnsi="Times New Roman" w:cs="Times New Roman"/>
          <w:kern w:val="28"/>
          <w:sz w:val="24"/>
          <w:szCs w:val="24"/>
          <w:lang w:eastAsia="hu-HU"/>
        </w:rPr>
        <w:t xml:space="preserve"> honlapról.</w:t>
      </w:r>
    </w:p>
    <w:p w:rsidR="00FB4686" w:rsidRPr="00FB4686" w:rsidRDefault="00FB4686" w:rsidP="00FB4686">
      <w:pPr>
        <w:spacing w:after="0" w:line="240" w:lineRule="auto"/>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 xml:space="preserve">A pályázati adatlaphoz kötelezően csatolandó mellékletek: </w:t>
      </w:r>
    </w:p>
    <w:p w:rsidR="00FB4686" w:rsidRPr="00FB4686" w:rsidRDefault="00FB4686" w:rsidP="00FB4686">
      <w:pPr>
        <w:numPr>
          <w:ilvl w:val="0"/>
          <w:numId w:val="1"/>
        </w:numPr>
        <w:spacing w:after="0" w:line="240" w:lineRule="auto"/>
        <w:ind w:left="284" w:hanging="284"/>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A pályázó tevékenységének bemutatása, a pályázat részletes leírása és költségvetése.</w:t>
      </w:r>
    </w:p>
    <w:p w:rsidR="00FB4686" w:rsidRPr="00FB4686" w:rsidRDefault="00FB4686" w:rsidP="00FB4686">
      <w:pPr>
        <w:numPr>
          <w:ilvl w:val="0"/>
          <w:numId w:val="1"/>
        </w:numPr>
        <w:spacing w:after="0" w:line="240" w:lineRule="auto"/>
        <w:ind w:left="284" w:hanging="284"/>
        <w:jc w:val="both"/>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Nyilatkozat az összeférhetetlenség, illetve érintettség fennállásáról vagy hiányáról (</w:t>
      </w:r>
      <w:r w:rsidRPr="00FB4686">
        <w:rPr>
          <w:rFonts w:ascii="Times New Roman" w:eastAsia="Times New Roman" w:hAnsi="Times New Roman" w:cs="Times New Roman"/>
          <w:color w:val="000000"/>
          <w:kern w:val="28"/>
          <w:sz w:val="24"/>
          <w:szCs w:val="24"/>
          <w:lang w:eastAsia="hu-HU"/>
        </w:rPr>
        <w:t>2007. évi CLXXXI. évi törvény 6. § (1) bekezdése, 8. § (1) bekezdése alapján)</w:t>
      </w:r>
      <w:r w:rsidRPr="00FB4686">
        <w:rPr>
          <w:rFonts w:ascii="Times New Roman" w:eastAsia="Times New Roman" w:hAnsi="Times New Roman" w:cs="Times New Roman"/>
          <w:kern w:val="28"/>
          <w:sz w:val="24"/>
          <w:szCs w:val="24"/>
          <w:lang w:eastAsia="hu-HU"/>
        </w:rPr>
        <w:t>. Ha az érintettség fennáll, közzétételi kérelem az érintettségről. A pályázó a pályázat benyújtásakor, vagy ha az érintettség a pályázat benyújtása után, de a támogatási döntés előtt következik be – az ettől számított 8 munkanapon belül – kezdeményezheti az érintettségének közzétételét.</w:t>
      </w:r>
    </w:p>
    <w:p w:rsidR="00FB4686" w:rsidRDefault="00FB4686" w:rsidP="00D65B14">
      <w:pPr>
        <w:numPr>
          <w:ilvl w:val="0"/>
          <w:numId w:val="1"/>
        </w:numPr>
        <w:spacing w:after="0" w:line="240" w:lineRule="auto"/>
        <w:ind w:left="284" w:hanging="284"/>
        <w:jc w:val="both"/>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Átláthatósági nyilatkozat.</w:t>
      </w:r>
    </w:p>
    <w:p w:rsidR="00D65B14" w:rsidRPr="00D65B14" w:rsidRDefault="00D65B14" w:rsidP="00D65B14">
      <w:pPr>
        <w:spacing w:after="0" w:line="240" w:lineRule="auto"/>
        <w:ind w:left="284"/>
        <w:jc w:val="both"/>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jc w:val="center"/>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A PÁLYÁZATOK BENYÚJTÁSÁNAK HATÁRIDEJE ÉS HELYE:</w:t>
      </w:r>
    </w:p>
    <w:p w:rsidR="00FB4686" w:rsidRPr="00FB4686" w:rsidRDefault="00FB4686" w:rsidP="00FB4686">
      <w:pPr>
        <w:spacing w:after="0" w:line="240" w:lineRule="auto"/>
        <w:jc w:val="center"/>
        <w:rPr>
          <w:rFonts w:ascii="Times New Roman" w:eastAsia="Times New Roman" w:hAnsi="Times New Roman" w:cs="Times New Roman"/>
          <w:b/>
          <w:kern w:val="28"/>
          <w:sz w:val="24"/>
          <w:szCs w:val="24"/>
          <w:lang w:eastAsia="hu-HU"/>
        </w:rPr>
      </w:pPr>
      <w:r w:rsidRPr="00FB4686">
        <w:rPr>
          <w:rFonts w:ascii="Times New Roman" w:eastAsia="Times New Roman" w:hAnsi="Times New Roman" w:cs="Times New Roman"/>
          <w:b/>
          <w:kern w:val="28"/>
          <w:sz w:val="24"/>
          <w:szCs w:val="24"/>
          <w:lang w:eastAsia="hu-HU"/>
        </w:rPr>
        <w:t>2018. április 5.</w:t>
      </w:r>
    </w:p>
    <w:p w:rsidR="00FB4686" w:rsidRPr="00FB4686" w:rsidRDefault="00FB4686" w:rsidP="00FB4686">
      <w:pPr>
        <w:spacing w:after="0" w:line="240" w:lineRule="auto"/>
        <w:jc w:val="center"/>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Gyöngyösi Polgármesteri Hivatal</w:t>
      </w:r>
    </w:p>
    <w:p w:rsidR="00FB4686" w:rsidRPr="00FB4686" w:rsidRDefault="00FB4686" w:rsidP="00FB4686">
      <w:pPr>
        <w:spacing w:after="0" w:line="240" w:lineRule="auto"/>
        <w:jc w:val="center"/>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Közigazgatási és Intézményirányítási Igazgatósága</w:t>
      </w:r>
    </w:p>
    <w:p w:rsidR="00FB4686" w:rsidRPr="00FB4686" w:rsidRDefault="00FB4686" w:rsidP="00FB4686">
      <w:pPr>
        <w:keepNext/>
        <w:spacing w:after="0" w:line="240" w:lineRule="auto"/>
        <w:jc w:val="center"/>
        <w:outlineLvl w:val="1"/>
        <w:rPr>
          <w:rFonts w:ascii="Times New Roman" w:eastAsia="Times New Roman" w:hAnsi="Times New Roman" w:cs="Times New Roman"/>
          <w:b/>
          <w:kern w:val="28"/>
          <w:sz w:val="24"/>
          <w:szCs w:val="24"/>
          <w:lang w:eastAsia="hu-HU"/>
        </w:rPr>
      </w:pPr>
      <w:r w:rsidRPr="00FB4686">
        <w:rPr>
          <w:rFonts w:ascii="Times New Roman" w:eastAsia="Times New Roman" w:hAnsi="Times New Roman" w:cs="Times New Roman"/>
          <w:b/>
          <w:kern w:val="28"/>
          <w:sz w:val="24"/>
          <w:szCs w:val="24"/>
          <w:lang w:eastAsia="hu-HU"/>
        </w:rPr>
        <w:lastRenderedPageBreak/>
        <w:t xml:space="preserve">Gyöngyös, Fő tér 13. </w:t>
      </w:r>
    </w:p>
    <w:p w:rsidR="00FB4686" w:rsidRPr="00FB4686" w:rsidRDefault="00FB4686" w:rsidP="00FB4686">
      <w:pPr>
        <w:spacing w:after="0" w:line="240" w:lineRule="auto"/>
        <w:jc w:val="center"/>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A borítékra kérjük ráírni: „Sportpályázat”</w:t>
      </w: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 xml:space="preserve">Az alapítványok támogatásáról Gyöngyös Város Képviselő-testülete, az egyéb civil szervezetek, az intézmények és magánszemélyek pályázatának elbírálásáról a Képviselő-testület Idegenforgalmi, Ifjúsági és Sportbizottsága dönt. </w:t>
      </w:r>
      <w:r w:rsidRPr="00FB4686">
        <w:rPr>
          <w:rFonts w:ascii="Times New Roman" w:eastAsia="Times New Roman" w:hAnsi="Times New Roman" w:cs="Times New Roman"/>
          <w:bCs/>
          <w:kern w:val="28"/>
          <w:sz w:val="24"/>
          <w:szCs w:val="24"/>
          <w:lang w:eastAsia="hu-HU"/>
        </w:rPr>
        <w:t>A beérkező pályázatot a hatáskörgyakorló a benyújtási határidőt követő 30 napon belül bírálja el.</w:t>
      </w:r>
      <w:r w:rsidRPr="00FB4686">
        <w:rPr>
          <w:rFonts w:ascii="Times New Roman" w:eastAsia="Times New Roman" w:hAnsi="Times New Roman" w:cs="Times New Roman"/>
          <w:kern w:val="28"/>
          <w:sz w:val="24"/>
          <w:szCs w:val="24"/>
          <w:lang w:eastAsia="hu-HU"/>
        </w:rPr>
        <w:t xml:space="preserve"> Az elbírálás eredményéről valamennyi pályázó írásban értesül.</w:t>
      </w:r>
    </w:p>
    <w:p w:rsidR="00FB4686" w:rsidRPr="00FB4686" w:rsidRDefault="00FB4686" w:rsidP="00FB4686">
      <w:pPr>
        <w:spacing w:after="0" w:line="240" w:lineRule="auto"/>
        <w:jc w:val="both"/>
        <w:rPr>
          <w:rFonts w:ascii="Times New Roman" w:eastAsia="Times New Roman" w:hAnsi="Times New Roman" w:cs="Times New Roman"/>
          <w:b/>
          <w:i/>
          <w:kern w:val="28"/>
          <w:sz w:val="24"/>
          <w:szCs w:val="24"/>
          <w:lang w:eastAsia="hu-HU"/>
        </w:rPr>
      </w:pPr>
    </w:p>
    <w:p w:rsidR="00FB4686" w:rsidRPr="00FB4686" w:rsidRDefault="00FB4686" w:rsidP="00FB4686">
      <w:pPr>
        <w:spacing w:after="0" w:line="240" w:lineRule="auto"/>
        <w:jc w:val="both"/>
        <w:rPr>
          <w:rFonts w:ascii="Times New Roman" w:eastAsia="Times New Roman" w:hAnsi="Times New Roman" w:cs="Times New Roman"/>
          <w:b/>
          <w:i/>
          <w:kern w:val="28"/>
          <w:sz w:val="24"/>
          <w:szCs w:val="24"/>
          <w:lang w:eastAsia="hu-HU"/>
        </w:rPr>
      </w:pPr>
      <w:r w:rsidRPr="00FB4686">
        <w:rPr>
          <w:rFonts w:ascii="Times New Roman" w:eastAsia="Times New Roman" w:hAnsi="Times New Roman" w:cs="Times New Roman"/>
          <w:b/>
          <w:i/>
          <w:kern w:val="28"/>
          <w:sz w:val="24"/>
          <w:szCs w:val="24"/>
          <w:lang w:eastAsia="hu-HU"/>
        </w:rPr>
        <w:t xml:space="preserve">Kizárja magát a pályázatból az a pályázó, amely csőd-, felszámolási-, vagy végelszámolási eljárás alatt áll, köztartozása van. illetve a sportegyesületek részére megküldött 2017. évi adatlapok kitöltésével és visszaküldésével nem teljesítette adatszolgáltatási kötelezettségét. </w:t>
      </w: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 xml:space="preserve">Az elnyert pénzbeli támogatás kizárólag a támogatási szerződésben meghatározott célra használható fel </w:t>
      </w:r>
      <w:r w:rsidRPr="00FB4686">
        <w:rPr>
          <w:rFonts w:ascii="Times New Roman" w:eastAsia="Times New Roman" w:hAnsi="Times New Roman" w:cs="Times New Roman"/>
          <w:b/>
          <w:kern w:val="28"/>
          <w:sz w:val="24"/>
          <w:szCs w:val="24"/>
          <w:lang w:eastAsia="hu-HU"/>
        </w:rPr>
        <w:t>2018. december 31-ig</w:t>
      </w:r>
      <w:r w:rsidRPr="00FB4686">
        <w:rPr>
          <w:rFonts w:ascii="Times New Roman" w:eastAsia="Times New Roman" w:hAnsi="Times New Roman" w:cs="Times New Roman"/>
          <w:kern w:val="28"/>
          <w:sz w:val="24"/>
          <w:szCs w:val="24"/>
          <w:lang w:eastAsia="hu-HU"/>
        </w:rPr>
        <w:t xml:space="preserve">. A pályázó köteles a pályázaton elnyert támogatás felhasználásáról </w:t>
      </w:r>
      <w:r w:rsidRPr="00FB4686">
        <w:rPr>
          <w:rFonts w:ascii="Times New Roman" w:eastAsia="Times New Roman" w:hAnsi="Times New Roman" w:cs="Times New Roman"/>
          <w:b/>
          <w:kern w:val="28"/>
          <w:sz w:val="24"/>
          <w:szCs w:val="24"/>
          <w:lang w:eastAsia="hu-HU"/>
        </w:rPr>
        <w:t>2019. január 31-ig</w:t>
      </w:r>
      <w:r w:rsidRPr="00FB4686">
        <w:rPr>
          <w:rFonts w:ascii="Times New Roman" w:eastAsia="Times New Roman" w:hAnsi="Times New Roman" w:cs="Times New Roman"/>
          <w:kern w:val="28"/>
          <w:sz w:val="24"/>
          <w:szCs w:val="24"/>
          <w:lang w:eastAsia="hu-HU"/>
        </w:rPr>
        <w:t xml:space="preserve"> elszámolni. </w:t>
      </w:r>
      <w:r w:rsidRPr="00FB4686">
        <w:rPr>
          <w:rFonts w:ascii="Times New Roman" w:eastAsia="Times New Roman" w:hAnsi="Times New Roman" w:cs="Times New Roman"/>
          <w:i/>
          <w:kern w:val="28"/>
          <w:sz w:val="24"/>
          <w:szCs w:val="24"/>
          <w:highlight w:val="yellow"/>
          <w:lang w:eastAsia="hu-HU"/>
        </w:rPr>
        <w:t xml:space="preserve"> </w:t>
      </w:r>
    </w:p>
    <w:p w:rsidR="00FB4686" w:rsidRPr="00FB4686" w:rsidRDefault="00FB4686" w:rsidP="00FB4686">
      <w:pPr>
        <w:keepNext/>
        <w:spacing w:after="0" w:line="240" w:lineRule="auto"/>
        <w:jc w:val="both"/>
        <w:outlineLvl w:val="2"/>
        <w:rPr>
          <w:rFonts w:ascii="Times New Roman" w:eastAsia="Times New Roman" w:hAnsi="Times New Roman" w:cs="Times New Roman"/>
          <w:b/>
          <w:sz w:val="24"/>
          <w:szCs w:val="24"/>
          <w:lang w:eastAsia="hu-HU"/>
        </w:rPr>
      </w:pPr>
    </w:p>
    <w:p w:rsidR="00FB4686" w:rsidRPr="00FB4686" w:rsidRDefault="00FB4686" w:rsidP="00FB4686">
      <w:pPr>
        <w:keepNext/>
        <w:spacing w:after="0" w:line="240" w:lineRule="auto"/>
        <w:jc w:val="both"/>
        <w:outlineLvl w:val="2"/>
        <w:rPr>
          <w:rFonts w:ascii="Times New Roman" w:eastAsia="Times New Roman" w:hAnsi="Times New Roman" w:cs="Times New Roman"/>
          <w:b/>
          <w:sz w:val="24"/>
          <w:szCs w:val="24"/>
          <w:lang w:eastAsia="hu-HU"/>
        </w:rPr>
      </w:pPr>
      <w:r w:rsidRPr="00FB4686">
        <w:rPr>
          <w:rFonts w:ascii="Times New Roman" w:eastAsia="Times New Roman" w:hAnsi="Times New Roman" w:cs="Times New Roman"/>
          <w:b/>
          <w:sz w:val="24"/>
          <w:szCs w:val="24"/>
          <w:lang w:eastAsia="hu-HU"/>
        </w:rPr>
        <w:t>A pályázati kiírásra, az Önkormányzat által nyújtható támogatás felhasználására és a támogatással történő elszámolásra vonatkozó részletes szabályokat az egyes önkormányzati támogatásokról szóló 15/2017. (III.31.) önkormányzati rendeletet tartalmazza.</w:t>
      </w: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jc w:val="both"/>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Pályázattal kapcsolatos információ kérhető: Szentirmay Judit ügyintézőtől (</w:t>
      </w:r>
      <w:hyperlink r:id="rId8" w:history="1">
        <w:r w:rsidRPr="00FB4686">
          <w:rPr>
            <w:rFonts w:ascii="Times New Roman" w:eastAsia="Times New Roman" w:hAnsi="Times New Roman" w:cs="Times New Roman"/>
            <w:color w:val="4472C4"/>
            <w:kern w:val="28"/>
            <w:sz w:val="24"/>
            <w:szCs w:val="24"/>
            <w:u w:val="single"/>
            <w:lang w:eastAsia="hu-HU"/>
          </w:rPr>
          <w:t>szentirmay.judit@hivatal.gyongyos.hu</w:t>
        </w:r>
      </w:hyperlink>
      <w:r w:rsidRPr="00FB4686">
        <w:rPr>
          <w:rFonts w:ascii="Times New Roman" w:eastAsia="Times New Roman" w:hAnsi="Times New Roman" w:cs="Times New Roman"/>
          <w:kern w:val="28"/>
          <w:sz w:val="24"/>
          <w:szCs w:val="24"/>
          <w:lang w:eastAsia="hu-HU"/>
        </w:rPr>
        <w:t xml:space="preserve">, 37/510-300, 467-es mellék). </w:t>
      </w:r>
    </w:p>
    <w:p w:rsidR="00FB4686" w:rsidRPr="00FB4686" w:rsidRDefault="00FB4686" w:rsidP="00FB4686">
      <w:pPr>
        <w:spacing w:after="0" w:line="240" w:lineRule="auto"/>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Gyöngyös, 2018. március 21.</w:t>
      </w:r>
      <w:r w:rsidRPr="00FB4686">
        <w:rPr>
          <w:rFonts w:ascii="Times New Roman" w:eastAsia="Times New Roman" w:hAnsi="Times New Roman" w:cs="Times New Roman"/>
          <w:kern w:val="28"/>
          <w:sz w:val="24"/>
          <w:szCs w:val="24"/>
          <w:lang w:eastAsia="hu-HU"/>
        </w:rPr>
        <w:tab/>
      </w:r>
    </w:p>
    <w:p w:rsidR="00FB4686" w:rsidRPr="00FB4686" w:rsidRDefault="00FB4686" w:rsidP="00FB4686">
      <w:pPr>
        <w:spacing w:after="0" w:line="240" w:lineRule="auto"/>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rPr>
          <w:rFonts w:ascii="Times New Roman" w:eastAsia="Times New Roman" w:hAnsi="Times New Roman" w:cs="Times New Roman"/>
          <w:b/>
          <w:kern w:val="28"/>
          <w:sz w:val="24"/>
          <w:szCs w:val="24"/>
          <w:lang w:eastAsia="hu-HU"/>
        </w:rPr>
      </w:pPr>
      <w:r w:rsidRPr="00FB4686">
        <w:rPr>
          <w:rFonts w:ascii="Times New Roman" w:eastAsia="Times New Roman" w:hAnsi="Times New Roman" w:cs="Times New Roman"/>
          <w:kern w:val="28"/>
          <w:sz w:val="24"/>
          <w:szCs w:val="24"/>
          <w:lang w:eastAsia="hu-HU"/>
        </w:rPr>
        <w:t xml:space="preserve">                     </w:t>
      </w:r>
      <w:r w:rsidRPr="00FB4686">
        <w:rPr>
          <w:rFonts w:ascii="Times New Roman" w:eastAsia="Times New Roman" w:hAnsi="Times New Roman" w:cs="Times New Roman"/>
          <w:kern w:val="28"/>
          <w:sz w:val="24"/>
          <w:szCs w:val="24"/>
          <w:lang w:eastAsia="hu-HU"/>
        </w:rPr>
        <w:tab/>
        <w:t xml:space="preserve">                                                                         </w:t>
      </w:r>
      <w:r w:rsidRPr="00FB4686">
        <w:rPr>
          <w:rFonts w:ascii="Times New Roman" w:eastAsia="Times New Roman" w:hAnsi="Times New Roman" w:cs="Times New Roman"/>
          <w:b/>
          <w:kern w:val="28"/>
          <w:sz w:val="24"/>
          <w:szCs w:val="24"/>
          <w:lang w:eastAsia="hu-HU"/>
        </w:rPr>
        <w:t>Gyöngyös Város Képviselő-testületének</w:t>
      </w:r>
    </w:p>
    <w:p w:rsidR="00FB4686" w:rsidRPr="00FB4686" w:rsidRDefault="00FB4686" w:rsidP="00FB4686">
      <w:pPr>
        <w:spacing w:after="0" w:line="240" w:lineRule="auto"/>
        <w:ind w:left="3540" w:firstLine="708"/>
        <w:jc w:val="both"/>
        <w:rPr>
          <w:rFonts w:ascii="Times New Roman" w:eastAsia="Times New Roman" w:hAnsi="Times New Roman" w:cs="Times New Roman"/>
          <w:b/>
          <w:kern w:val="28"/>
          <w:sz w:val="24"/>
          <w:szCs w:val="24"/>
          <w:lang w:eastAsia="hu-HU"/>
        </w:rPr>
      </w:pPr>
      <w:r w:rsidRPr="00FB4686">
        <w:rPr>
          <w:rFonts w:ascii="Times New Roman" w:eastAsia="Times New Roman" w:hAnsi="Times New Roman" w:cs="Times New Roman"/>
          <w:b/>
          <w:kern w:val="28"/>
          <w:sz w:val="24"/>
          <w:szCs w:val="24"/>
          <w:lang w:eastAsia="hu-HU"/>
        </w:rPr>
        <w:t xml:space="preserve">                       Idegenforgalmi, Ifjúsági és Sportbizottsága</w:t>
      </w:r>
    </w:p>
    <w:p w:rsidR="00FB4686" w:rsidRPr="00FB4686" w:rsidRDefault="00FB4686" w:rsidP="00FB4686">
      <w:pPr>
        <w:spacing w:after="0" w:line="240" w:lineRule="auto"/>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rPr>
          <w:rFonts w:ascii="Times New Roman" w:eastAsia="Times New Roman" w:hAnsi="Times New Roman" w:cs="Times New Roman"/>
          <w:kern w:val="28"/>
          <w:sz w:val="24"/>
          <w:szCs w:val="24"/>
          <w:lang w:eastAsia="hu-HU"/>
        </w:rPr>
      </w:pPr>
    </w:p>
    <w:p w:rsidR="00FB4686" w:rsidRPr="00FB4686" w:rsidRDefault="00FB4686" w:rsidP="00FB4686">
      <w:pPr>
        <w:tabs>
          <w:tab w:val="left" w:pos="5160"/>
        </w:tabs>
        <w:spacing w:after="0" w:line="240" w:lineRule="auto"/>
        <w:rPr>
          <w:rFonts w:ascii="Times New Roman" w:eastAsia="Times New Roman" w:hAnsi="Times New Roman" w:cs="Times New Roman"/>
          <w:kern w:val="28"/>
          <w:sz w:val="24"/>
          <w:szCs w:val="24"/>
          <w:lang w:eastAsia="hu-HU"/>
        </w:rPr>
      </w:pPr>
      <w:r w:rsidRPr="00FB4686">
        <w:rPr>
          <w:rFonts w:ascii="Times New Roman" w:eastAsia="Times New Roman" w:hAnsi="Times New Roman" w:cs="Times New Roman"/>
          <w:kern w:val="28"/>
          <w:sz w:val="24"/>
          <w:szCs w:val="24"/>
          <w:lang w:eastAsia="hu-HU"/>
        </w:rPr>
        <w:tab/>
      </w:r>
    </w:p>
    <w:p w:rsidR="00FB4686" w:rsidRPr="00FB4686" w:rsidRDefault="00FB4686" w:rsidP="00FB4686">
      <w:pPr>
        <w:spacing w:after="0" w:line="240" w:lineRule="auto"/>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rPr>
          <w:rFonts w:ascii="Times New Roman" w:eastAsia="Times New Roman" w:hAnsi="Times New Roman" w:cs="Times New Roman"/>
          <w:kern w:val="28"/>
          <w:sz w:val="24"/>
          <w:szCs w:val="24"/>
          <w:lang w:eastAsia="hu-HU"/>
        </w:rPr>
      </w:pPr>
    </w:p>
    <w:p w:rsidR="00FB4686" w:rsidRPr="00FB4686" w:rsidRDefault="00FB4686" w:rsidP="00FB4686">
      <w:pPr>
        <w:spacing w:after="0" w:line="240" w:lineRule="auto"/>
        <w:rPr>
          <w:rFonts w:ascii="Times New Roman" w:eastAsia="Times New Roman" w:hAnsi="Times New Roman" w:cs="Times New Roman"/>
          <w:kern w:val="28"/>
          <w:sz w:val="24"/>
          <w:szCs w:val="24"/>
          <w:lang w:eastAsia="hu-HU"/>
        </w:rPr>
      </w:pPr>
    </w:p>
    <w:p w:rsidR="00CD757B" w:rsidRDefault="00CD757B"/>
    <w:sectPr w:rsidR="00CD757B" w:rsidSect="002A5B3E">
      <w:headerReference w:type="even" r:id="rId9"/>
      <w:headerReference w:type="default" r:id="rId10"/>
      <w:pgSz w:w="11907" w:h="16840"/>
      <w:pgMar w:top="720" w:right="720" w:bottom="720" w:left="720"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948" w:rsidRDefault="00D46948">
      <w:pPr>
        <w:spacing w:after="0" w:line="240" w:lineRule="auto"/>
      </w:pPr>
      <w:r>
        <w:separator/>
      </w:r>
    </w:p>
  </w:endnote>
  <w:endnote w:type="continuationSeparator" w:id="0">
    <w:p w:rsidR="00D46948" w:rsidRDefault="00D4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948" w:rsidRDefault="00D46948">
      <w:pPr>
        <w:spacing w:after="0" w:line="240" w:lineRule="auto"/>
      </w:pPr>
      <w:r>
        <w:separator/>
      </w:r>
    </w:p>
  </w:footnote>
  <w:footnote w:type="continuationSeparator" w:id="0">
    <w:p w:rsidR="00D46948" w:rsidRDefault="00D46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E47" w:rsidRDefault="00A47389" w:rsidP="00FF49B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33E47" w:rsidRDefault="00D4694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342" w:rsidRDefault="00A47389">
    <w:pPr>
      <w:pStyle w:val="lfej"/>
      <w:jc w:val="center"/>
    </w:pPr>
    <w:r>
      <w:fldChar w:fldCharType="begin"/>
    </w:r>
    <w:r>
      <w:instrText>PAGE   \* MERGEFORMAT</w:instrText>
    </w:r>
    <w:r>
      <w:fldChar w:fldCharType="separate"/>
    </w:r>
    <w:r w:rsidR="005337B5">
      <w:rPr>
        <w:noProof/>
      </w:rPr>
      <w:t>2</w:t>
    </w:r>
    <w:r>
      <w:fldChar w:fldCharType="end"/>
    </w:r>
  </w:p>
  <w:p w:rsidR="00452342" w:rsidRDefault="00D4694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B7EE6"/>
    <w:multiLevelType w:val="hybridMultilevel"/>
    <w:tmpl w:val="BC602CD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 w15:restartNumberingAfterBreak="0">
    <w:nsid w:val="6E8A71FD"/>
    <w:multiLevelType w:val="hybridMultilevel"/>
    <w:tmpl w:val="A860ECB6"/>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86"/>
    <w:rsid w:val="005337B5"/>
    <w:rsid w:val="00593D17"/>
    <w:rsid w:val="007D1686"/>
    <w:rsid w:val="00A47389"/>
    <w:rsid w:val="00CD757B"/>
    <w:rsid w:val="00D46948"/>
    <w:rsid w:val="00D65B14"/>
    <w:rsid w:val="00FB46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34629-08FA-4096-B937-D4140972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FB4686"/>
    <w:pPr>
      <w:tabs>
        <w:tab w:val="center" w:pos="4536"/>
        <w:tab w:val="right" w:pos="9072"/>
      </w:tabs>
      <w:spacing w:after="0" w:line="240" w:lineRule="auto"/>
    </w:pPr>
    <w:rPr>
      <w:rFonts w:ascii="Times New Roman" w:eastAsia="Times New Roman" w:hAnsi="Times New Roman" w:cs="Times New Roman"/>
      <w:kern w:val="28"/>
      <w:sz w:val="26"/>
      <w:szCs w:val="20"/>
      <w:lang w:eastAsia="hu-HU"/>
    </w:rPr>
  </w:style>
  <w:style w:type="character" w:customStyle="1" w:styleId="lfejChar">
    <w:name w:val="Élőfej Char"/>
    <w:basedOn w:val="Bekezdsalapbettpusa"/>
    <w:link w:val="lfej"/>
    <w:uiPriority w:val="99"/>
    <w:rsid w:val="00FB4686"/>
    <w:rPr>
      <w:rFonts w:ascii="Times New Roman" w:eastAsia="Times New Roman" w:hAnsi="Times New Roman" w:cs="Times New Roman"/>
      <w:kern w:val="28"/>
      <w:sz w:val="26"/>
      <w:szCs w:val="20"/>
      <w:lang w:eastAsia="hu-HU"/>
    </w:rPr>
  </w:style>
  <w:style w:type="character" w:styleId="Oldalszm">
    <w:name w:val="page number"/>
    <w:basedOn w:val="Bekezdsalapbettpusa"/>
    <w:rsid w:val="00FB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ntirmay.judit@hivatal.gyongyos.hu" TargetMode="External"/><Relationship Id="rId3" Type="http://schemas.openxmlformats.org/officeDocument/2006/relationships/settings" Target="settings.xml"/><Relationship Id="rId7" Type="http://schemas.openxmlformats.org/officeDocument/2006/relationships/hyperlink" Target="http://www.gyongyos.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646</Words>
  <Characters>4461</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Szentirmay Judit</dc:creator>
  <cp:keywords/>
  <dc:description/>
  <cp:lastModifiedBy>Dr. Horváth Gábor</cp:lastModifiedBy>
  <cp:revision>3</cp:revision>
  <dcterms:created xsi:type="dcterms:W3CDTF">2018-03-20T09:44:00Z</dcterms:created>
  <dcterms:modified xsi:type="dcterms:W3CDTF">2018-03-26T12:28:00Z</dcterms:modified>
</cp:coreProperties>
</file>